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811"/>
        <w:gridCol w:w="1123"/>
      </w:tblGrid>
      <w:tr w:rsidR="003A369F" w:rsidRPr="00BE489D" w:rsidTr="00BE489D">
        <w:tc>
          <w:tcPr>
            <w:tcW w:w="7371" w:type="dxa"/>
            <w:gridSpan w:val="2"/>
            <w:tcBorders>
              <w:top w:val="nil"/>
              <w:left w:val="nil"/>
              <w:bottom w:val="single" w:sz="4" w:space="0" w:color="auto"/>
            </w:tcBorders>
          </w:tcPr>
          <w:p w:rsidR="003A369F" w:rsidRPr="00D3549D" w:rsidRDefault="00D3549D" w:rsidP="00BE489D">
            <w:pPr>
              <w:spacing w:after="0" w:line="240" w:lineRule="auto"/>
              <w:jc w:val="center"/>
              <w:rPr>
                <w:b/>
                <w:color w:val="4F81BD" w:themeColor="accent1"/>
                <w:sz w:val="44"/>
                <w:szCs w:val="44"/>
              </w:rPr>
            </w:pPr>
            <w:r>
              <w:rPr>
                <w:b/>
                <w:color w:val="4F81BD" w:themeColor="accent1"/>
                <w:sz w:val="44"/>
                <w:szCs w:val="44"/>
              </w:rPr>
              <w:t>ASOCIADO2</w:t>
            </w:r>
          </w:p>
        </w:tc>
        <w:tc>
          <w:tcPr>
            <w:tcW w:w="1123" w:type="dxa"/>
          </w:tcPr>
          <w:p w:rsidR="003A369F" w:rsidRPr="00BE489D" w:rsidRDefault="003A369F" w:rsidP="00BE489D">
            <w:pPr>
              <w:spacing w:after="0" w:line="240" w:lineRule="auto"/>
            </w:pPr>
            <w:r w:rsidRPr="00BE489D">
              <w:t>Nº ECTS</w:t>
            </w:r>
          </w:p>
        </w:tc>
      </w:tr>
      <w:tr w:rsidR="003A369F" w:rsidRPr="00BE489D" w:rsidTr="00BE489D">
        <w:tc>
          <w:tcPr>
            <w:tcW w:w="7371" w:type="dxa"/>
            <w:gridSpan w:val="2"/>
            <w:tcBorders>
              <w:top w:val="single" w:sz="4" w:space="0" w:color="auto"/>
            </w:tcBorders>
          </w:tcPr>
          <w:p w:rsidR="002726C7" w:rsidRPr="00CB170E" w:rsidRDefault="007579F8" w:rsidP="00F91BA4">
            <w:pPr>
              <w:spacing w:after="0" w:line="240" w:lineRule="auto"/>
              <w:jc w:val="both"/>
              <w:rPr>
                <w:color w:val="FF0000"/>
                <w:u w:val="single"/>
              </w:rPr>
            </w:pPr>
            <w:r w:rsidRPr="00BE489D">
              <w:rPr>
                <w:b/>
                <w:u w:val="single"/>
              </w:rPr>
              <w:t>MATERIA</w:t>
            </w:r>
            <w:r w:rsidRPr="00BE489D">
              <w:t xml:space="preserve">: </w:t>
            </w:r>
            <w:r w:rsidR="00CB170E">
              <w:t xml:space="preserve"> </w:t>
            </w:r>
            <w:r w:rsidR="009B7A09">
              <w:t>DERECHO DE LOS NEGOCIOS INTERNACIONALES Y ASESORÍA JURÍDICA INTERNACIONAL</w:t>
            </w:r>
            <w:r w:rsidR="00CB170E">
              <w:t xml:space="preserve"> </w:t>
            </w:r>
          </w:p>
        </w:tc>
        <w:tc>
          <w:tcPr>
            <w:tcW w:w="1123" w:type="dxa"/>
          </w:tcPr>
          <w:p w:rsidR="003A369F" w:rsidRPr="00BE489D" w:rsidRDefault="003A369F" w:rsidP="00BE489D">
            <w:pPr>
              <w:spacing w:after="0" w:line="240" w:lineRule="auto"/>
              <w:jc w:val="center"/>
            </w:pPr>
          </w:p>
        </w:tc>
      </w:tr>
      <w:tr w:rsidR="003A369F" w:rsidRPr="00BE489D" w:rsidTr="00BE489D">
        <w:trPr>
          <w:trHeight w:val="469"/>
        </w:trPr>
        <w:tc>
          <w:tcPr>
            <w:tcW w:w="1560" w:type="dxa"/>
          </w:tcPr>
          <w:p w:rsidR="003A369F" w:rsidRPr="00BE489D" w:rsidRDefault="003A369F" w:rsidP="00BE489D">
            <w:pPr>
              <w:spacing w:after="0" w:line="240" w:lineRule="auto"/>
              <w:rPr>
                <w:u w:val="single"/>
              </w:rPr>
            </w:pPr>
            <w:r w:rsidRPr="00BE489D">
              <w:rPr>
                <w:u w:val="single"/>
              </w:rPr>
              <w:t>Perfil del profesor</w:t>
            </w:r>
          </w:p>
          <w:p w:rsidR="00F91BA4" w:rsidRPr="00BE489D" w:rsidRDefault="00F91BA4" w:rsidP="00BE489D">
            <w:pPr>
              <w:spacing w:after="0" w:line="240" w:lineRule="auto"/>
              <w:rPr>
                <w:u w:val="single"/>
              </w:rPr>
            </w:pPr>
            <w:bookmarkStart w:id="0" w:name="_GoBack"/>
            <w:bookmarkEnd w:id="0"/>
          </w:p>
          <w:p w:rsidR="00F77EB7" w:rsidRPr="00BE489D" w:rsidRDefault="00F77EB7" w:rsidP="00BE489D">
            <w:pPr>
              <w:spacing w:after="0" w:line="240" w:lineRule="auto"/>
              <w:rPr>
                <w:u w:val="single"/>
              </w:rPr>
            </w:pPr>
          </w:p>
        </w:tc>
        <w:tc>
          <w:tcPr>
            <w:tcW w:w="6934" w:type="dxa"/>
            <w:gridSpan w:val="2"/>
          </w:tcPr>
          <w:p w:rsidR="00826C05" w:rsidRPr="00BE489D" w:rsidRDefault="00826C05" w:rsidP="00BE489D">
            <w:pPr>
              <w:spacing w:after="0" w:line="240" w:lineRule="auto"/>
            </w:pPr>
          </w:p>
          <w:p w:rsidR="00EC5E53" w:rsidRDefault="00EC5E53" w:rsidP="009B7A09">
            <w:pPr>
              <w:spacing w:after="0" w:line="240" w:lineRule="auto"/>
            </w:pPr>
            <w:r>
              <w:t>Profesor asociado</w:t>
            </w:r>
          </w:p>
          <w:p w:rsidR="001D7F79" w:rsidRPr="00BE489D" w:rsidRDefault="00EC5E53" w:rsidP="009B7A09">
            <w:pPr>
              <w:spacing w:after="0" w:line="240" w:lineRule="auto"/>
            </w:pPr>
            <w:r>
              <w:t>D</w:t>
            </w:r>
            <w:r w:rsidR="009B7A09">
              <w:t xml:space="preserve">octor. </w:t>
            </w:r>
          </w:p>
        </w:tc>
      </w:tr>
      <w:tr w:rsidR="00F77EB7" w:rsidRPr="00BE489D" w:rsidTr="00F91BA4">
        <w:trPr>
          <w:trHeight w:val="2119"/>
        </w:trPr>
        <w:tc>
          <w:tcPr>
            <w:tcW w:w="1560" w:type="dxa"/>
          </w:tcPr>
          <w:p w:rsidR="00F77EB7" w:rsidRPr="00BE489D" w:rsidRDefault="00F91BA4" w:rsidP="00BE489D">
            <w:pPr>
              <w:spacing w:after="0" w:line="240" w:lineRule="auto"/>
              <w:rPr>
                <w:u w:val="single"/>
              </w:rPr>
            </w:pPr>
            <w:r>
              <w:rPr>
                <w:u w:val="single"/>
              </w:rPr>
              <w:t>Líneas de investigación</w:t>
            </w:r>
          </w:p>
          <w:p w:rsidR="00F77EB7" w:rsidRPr="00BE489D" w:rsidRDefault="00F77EB7" w:rsidP="00BE489D">
            <w:pPr>
              <w:spacing w:after="0" w:line="240" w:lineRule="auto"/>
              <w:rPr>
                <w:u w:val="single"/>
              </w:rPr>
            </w:pPr>
          </w:p>
          <w:p w:rsidR="00F77EB7" w:rsidRPr="00BE489D" w:rsidRDefault="00F77EB7" w:rsidP="00BE489D">
            <w:pPr>
              <w:spacing w:after="0" w:line="240" w:lineRule="auto"/>
              <w:rPr>
                <w:u w:val="single"/>
              </w:rPr>
            </w:pPr>
          </w:p>
        </w:tc>
        <w:tc>
          <w:tcPr>
            <w:tcW w:w="6934" w:type="dxa"/>
            <w:gridSpan w:val="2"/>
          </w:tcPr>
          <w:p w:rsidR="001D7F79" w:rsidRDefault="009B7A09" w:rsidP="00BE489D">
            <w:pPr>
              <w:spacing w:after="0" w:line="240" w:lineRule="auto"/>
            </w:pPr>
            <w:r>
              <w:t>Derecho del comercio internacional</w:t>
            </w:r>
          </w:p>
          <w:p w:rsidR="009B7A09" w:rsidRDefault="009B7A09" w:rsidP="00BE489D">
            <w:pPr>
              <w:spacing w:after="0" w:line="240" w:lineRule="auto"/>
            </w:pPr>
            <w:r>
              <w:t>Derecho procesal civil internacional</w:t>
            </w:r>
          </w:p>
          <w:p w:rsidR="009B7A09" w:rsidRDefault="009B7A09" w:rsidP="00BE489D">
            <w:pPr>
              <w:spacing w:after="0" w:line="240" w:lineRule="auto"/>
            </w:pPr>
            <w:r>
              <w:t>Derecho del consumo internacional</w:t>
            </w:r>
          </w:p>
          <w:p w:rsidR="009B7A09" w:rsidRDefault="009B7A09" w:rsidP="00BE489D">
            <w:pPr>
              <w:spacing w:after="0" w:line="240" w:lineRule="auto"/>
            </w:pPr>
            <w:r>
              <w:t>Derecho bancario internacional</w:t>
            </w:r>
          </w:p>
          <w:p w:rsidR="00F91BA4" w:rsidRDefault="00F91BA4" w:rsidP="00BE489D">
            <w:pPr>
              <w:spacing w:after="0" w:line="240" w:lineRule="auto"/>
            </w:pPr>
            <w:r>
              <w:t>Derecho de menores</w:t>
            </w:r>
          </w:p>
          <w:p w:rsidR="00BD1792" w:rsidRPr="00BE489D" w:rsidRDefault="00BD1792" w:rsidP="00BE489D">
            <w:pPr>
              <w:spacing w:after="0" w:line="240" w:lineRule="auto"/>
            </w:pPr>
            <w:r>
              <w:t>Nuevas tecnologías</w:t>
            </w:r>
          </w:p>
        </w:tc>
      </w:tr>
      <w:tr w:rsidR="006E5F82" w:rsidRPr="00B17D37" w:rsidTr="00BE489D">
        <w:trPr>
          <w:trHeight w:val="2266"/>
        </w:trPr>
        <w:tc>
          <w:tcPr>
            <w:tcW w:w="1560" w:type="dxa"/>
          </w:tcPr>
          <w:p w:rsidR="006E5F82" w:rsidRPr="00B17D37" w:rsidRDefault="006E5F82" w:rsidP="00BE489D">
            <w:pPr>
              <w:spacing w:after="0" w:line="240" w:lineRule="auto"/>
              <w:rPr>
                <w:rFonts w:cs="Calibri"/>
                <w:u w:val="single"/>
              </w:rPr>
            </w:pPr>
            <w:r w:rsidRPr="00B17D37">
              <w:rPr>
                <w:rFonts w:cs="Calibri"/>
                <w:u w:val="single"/>
              </w:rPr>
              <w:t>Proyectos</w:t>
            </w: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6E5F82" w:rsidRPr="00B17D37" w:rsidRDefault="006E5F82" w:rsidP="00BE489D">
            <w:pPr>
              <w:spacing w:after="0" w:line="240" w:lineRule="auto"/>
              <w:rPr>
                <w:rFonts w:cs="Calibri"/>
                <w:u w:val="single"/>
              </w:rPr>
            </w:pPr>
          </w:p>
        </w:tc>
        <w:tc>
          <w:tcPr>
            <w:tcW w:w="6934" w:type="dxa"/>
            <w:gridSpan w:val="2"/>
          </w:tcPr>
          <w:p w:rsidR="00F91BA4" w:rsidRPr="00B17D37" w:rsidRDefault="00F91BA4" w:rsidP="00F91BA4">
            <w:pPr>
              <w:ind w:left="360"/>
              <w:jc w:val="both"/>
              <w:rPr>
                <w:rFonts w:cs="Calibri"/>
                <w:b/>
                <w:lang w:val="es-ES_tradnl"/>
              </w:rPr>
            </w:pPr>
            <w:r w:rsidRPr="00B17D37">
              <w:rPr>
                <w:rFonts w:cs="Calibri"/>
                <w:b/>
                <w:lang w:val="es-ES_tradnl"/>
              </w:rPr>
              <w:t>PARTICIPACIÓN EN PROYECTOS DE INVESTIGACIÓN</w:t>
            </w:r>
          </w:p>
          <w:p w:rsidR="00F91BA4" w:rsidRPr="00B17D37" w:rsidRDefault="00F91BA4" w:rsidP="00F91BA4">
            <w:pPr>
              <w:numPr>
                <w:ilvl w:val="0"/>
                <w:numId w:val="8"/>
              </w:numPr>
              <w:spacing w:after="0" w:line="240" w:lineRule="auto"/>
              <w:jc w:val="both"/>
              <w:rPr>
                <w:rFonts w:cs="Calibri"/>
                <w:lang w:val="es-ES_tradnl"/>
              </w:rPr>
            </w:pPr>
            <w:r w:rsidRPr="00B17D37">
              <w:rPr>
                <w:rFonts w:cs="Calibri"/>
                <w:lang w:val="es-ES_tradnl"/>
              </w:rPr>
              <w:t xml:space="preserve">1995/1999 Becaria </w:t>
            </w:r>
            <w:proofErr w:type="spellStart"/>
            <w:r w:rsidRPr="00B17D37">
              <w:rPr>
                <w:rFonts w:cs="Calibri"/>
                <w:lang w:val="es-ES_tradnl"/>
              </w:rPr>
              <w:t>predoctoral</w:t>
            </w:r>
            <w:proofErr w:type="spellEnd"/>
            <w:r w:rsidRPr="00B17D37">
              <w:rPr>
                <w:rFonts w:cs="Calibri"/>
                <w:lang w:val="es-ES_tradnl"/>
              </w:rPr>
              <w:t xml:space="preserve"> FP95 del Ministerio de Educación y Ciencia</w:t>
            </w:r>
          </w:p>
          <w:p w:rsidR="00F91BA4" w:rsidRPr="00B17D37" w:rsidRDefault="00F91BA4" w:rsidP="00F91BA4">
            <w:pPr>
              <w:numPr>
                <w:ilvl w:val="0"/>
                <w:numId w:val="8"/>
              </w:numPr>
              <w:spacing w:after="0" w:line="240" w:lineRule="auto"/>
              <w:jc w:val="both"/>
              <w:rPr>
                <w:rFonts w:cs="Calibri"/>
                <w:lang w:val="es-ES_tradnl"/>
              </w:rPr>
            </w:pPr>
            <w:r w:rsidRPr="00B17D37">
              <w:rPr>
                <w:rFonts w:cs="Calibri"/>
                <w:lang w:val="es-ES_tradnl"/>
              </w:rPr>
              <w:t>1995-2000 investigadora en los Proyectos dirigidos por el Prof. Dr. D. José Carlos Fernández Rozas, Catedrático de Derecho Internacional Privado en la Facultad de Derecho de la UCM, concretamente en los proyectos DGICYT PB 94-0264 titulado “Derecho de la contratación internacional” y el PB97-0260 titulado “El arbitraje y otros medios de solución de controversias en el Derecho del Comercio internacional” y demás actividades investigadoras del departamento</w:t>
            </w:r>
          </w:p>
          <w:p w:rsidR="00F91BA4" w:rsidRPr="00B17D37" w:rsidRDefault="00F91BA4" w:rsidP="00F91BA4">
            <w:pPr>
              <w:ind w:left="360"/>
              <w:jc w:val="both"/>
              <w:rPr>
                <w:rFonts w:cs="Calibri"/>
                <w:b/>
                <w:lang w:val="es-ES_tradnl"/>
              </w:rPr>
            </w:pPr>
            <w:r w:rsidRPr="00B17D37">
              <w:rPr>
                <w:rFonts w:cs="Calibri"/>
                <w:b/>
                <w:lang w:val="es-ES_tradnl"/>
              </w:rPr>
              <w:t>DIRECCIÓN DE TRABAJOS DE INVESTIGACIÓN</w:t>
            </w:r>
          </w:p>
          <w:p w:rsidR="00F91BA4" w:rsidRPr="00B17D37" w:rsidRDefault="00F91BA4" w:rsidP="00F91BA4">
            <w:pPr>
              <w:numPr>
                <w:ilvl w:val="0"/>
                <w:numId w:val="8"/>
              </w:numPr>
              <w:spacing w:after="0" w:line="240" w:lineRule="auto"/>
              <w:jc w:val="both"/>
              <w:rPr>
                <w:rFonts w:cs="Calibri"/>
                <w:b/>
                <w:lang w:val="es-ES_tradnl"/>
              </w:rPr>
            </w:pPr>
            <w:r w:rsidRPr="00B17D37">
              <w:rPr>
                <w:rFonts w:cs="Calibri"/>
                <w:lang w:val="es-ES_tradnl"/>
              </w:rPr>
              <w:t xml:space="preserve">2012-2018 Dirección de TFG en materias relacionadas con el Derecho internacional. </w:t>
            </w:r>
          </w:p>
          <w:p w:rsidR="00F91BA4" w:rsidRPr="00B17D37" w:rsidRDefault="00F91BA4" w:rsidP="00F91BA4">
            <w:pPr>
              <w:numPr>
                <w:ilvl w:val="0"/>
                <w:numId w:val="8"/>
              </w:numPr>
              <w:spacing w:after="0" w:line="240" w:lineRule="auto"/>
              <w:jc w:val="both"/>
              <w:rPr>
                <w:rFonts w:cs="Calibri"/>
                <w:b/>
                <w:lang w:val="es-ES_tradnl"/>
              </w:rPr>
            </w:pPr>
            <w:r w:rsidRPr="00B17D37">
              <w:rPr>
                <w:rFonts w:cs="Calibri"/>
                <w:lang w:val="es-ES_tradnl"/>
              </w:rPr>
              <w:t>2010-2014 Polivalencia investigadora como Coordinadora del proyecto de Red Académica Erasmus sobre Derecho y Menores dirigido por la Cátedra Santander Derecho y Menores de la Universidad Pontificia Comillas de Madrid, presentado a la UE dentro del programa LLP 2012.</w:t>
            </w:r>
          </w:p>
          <w:p w:rsidR="00F91BA4" w:rsidRPr="00B17D37" w:rsidRDefault="00F91BA4" w:rsidP="00F91BA4">
            <w:pPr>
              <w:numPr>
                <w:ilvl w:val="0"/>
                <w:numId w:val="8"/>
              </w:numPr>
              <w:spacing w:after="0" w:line="240" w:lineRule="auto"/>
              <w:jc w:val="both"/>
              <w:rPr>
                <w:rFonts w:cs="Calibri"/>
                <w:lang w:val="es-ES_tradnl"/>
              </w:rPr>
            </w:pPr>
            <w:r w:rsidRPr="00B17D37">
              <w:rPr>
                <w:rFonts w:cs="Calibri"/>
                <w:lang w:val="es-ES_tradnl"/>
              </w:rPr>
              <w:t>Profesora participante en el programa de investigación financiado por la UE, dirigido por la Universidad de Udine (Italia) titulado “</w:t>
            </w:r>
            <w:proofErr w:type="spellStart"/>
            <w:r w:rsidRPr="00B17D37">
              <w:rPr>
                <w:rFonts w:cs="Calibri"/>
                <w:lang w:val="es-ES_tradnl"/>
              </w:rPr>
              <w:t>Alternative</w:t>
            </w:r>
            <w:proofErr w:type="spellEnd"/>
            <w:r w:rsidRPr="00B17D37">
              <w:rPr>
                <w:rFonts w:cs="Calibri"/>
                <w:lang w:val="es-ES_tradnl"/>
              </w:rPr>
              <w:t xml:space="preserve"> dispute </w:t>
            </w:r>
            <w:proofErr w:type="spellStart"/>
            <w:r w:rsidRPr="00B17D37">
              <w:rPr>
                <w:rFonts w:cs="Calibri"/>
                <w:lang w:val="es-ES_tradnl"/>
              </w:rPr>
              <w:t>resolution</w:t>
            </w:r>
            <w:proofErr w:type="spellEnd"/>
            <w:r w:rsidRPr="00B17D37">
              <w:rPr>
                <w:rFonts w:cs="Calibri"/>
                <w:lang w:val="es-ES_tradnl"/>
              </w:rPr>
              <w:t xml:space="preserve"> and </w:t>
            </w:r>
            <w:proofErr w:type="spellStart"/>
            <w:r w:rsidRPr="00B17D37">
              <w:rPr>
                <w:rFonts w:cs="Calibri"/>
                <w:lang w:val="es-ES_tradnl"/>
              </w:rPr>
              <w:t>collective</w:t>
            </w:r>
            <w:proofErr w:type="spellEnd"/>
            <w:r w:rsidRPr="00B17D37">
              <w:rPr>
                <w:rFonts w:cs="Calibri"/>
                <w:lang w:val="es-ES_tradnl"/>
              </w:rPr>
              <w:t xml:space="preserve"> </w:t>
            </w:r>
            <w:proofErr w:type="spellStart"/>
            <w:r w:rsidRPr="00B17D37">
              <w:rPr>
                <w:rFonts w:cs="Calibri"/>
                <w:lang w:val="es-ES_tradnl"/>
              </w:rPr>
              <w:t>redress</w:t>
            </w:r>
            <w:proofErr w:type="spellEnd"/>
            <w:r w:rsidRPr="00B17D37">
              <w:rPr>
                <w:rFonts w:cs="Calibri"/>
                <w:lang w:val="es-ES_tradnl"/>
              </w:rPr>
              <w:t xml:space="preserve"> in </w:t>
            </w:r>
            <w:proofErr w:type="spellStart"/>
            <w:r w:rsidRPr="00B17D37">
              <w:rPr>
                <w:rFonts w:cs="Calibri"/>
                <w:lang w:val="es-ES_tradnl"/>
              </w:rPr>
              <w:t>European</w:t>
            </w:r>
            <w:proofErr w:type="spellEnd"/>
            <w:r w:rsidRPr="00B17D37">
              <w:rPr>
                <w:rFonts w:cs="Calibri"/>
                <w:lang w:val="es-ES_tradnl"/>
              </w:rPr>
              <w:t xml:space="preserve"> and </w:t>
            </w:r>
            <w:proofErr w:type="spellStart"/>
            <w:r w:rsidRPr="00B17D37">
              <w:rPr>
                <w:rFonts w:cs="Calibri"/>
                <w:lang w:val="es-ES_tradnl"/>
              </w:rPr>
              <w:t>private</w:t>
            </w:r>
            <w:proofErr w:type="spellEnd"/>
            <w:r w:rsidRPr="00B17D37">
              <w:rPr>
                <w:rFonts w:cs="Calibri"/>
                <w:lang w:val="es-ES_tradnl"/>
              </w:rPr>
              <w:t xml:space="preserve"> </w:t>
            </w:r>
            <w:proofErr w:type="spellStart"/>
            <w:r w:rsidRPr="00B17D37">
              <w:rPr>
                <w:rFonts w:cs="Calibri"/>
                <w:lang w:val="es-ES_tradnl"/>
              </w:rPr>
              <w:t>international</w:t>
            </w:r>
            <w:proofErr w:type="spellEnd"/>
            <w:r w:rsidRPr="00B17D37">
              <w:rPr>
                <w:rFonts w:cs="Calibri"/>
                <w:lang w:val="es-ES_tradnl"/>
              </w:rPr>
              <w:t xml:space="preserve"> </w:t>
            </w:r>
            <w:proofErr w:type="spellStart"/>
            <w:r w:rsidRPr="00B17D37">
              <w:rPr>
                <w:rFonts w:cs="Calibri"/>
                <w:lang w:val="es-ES_tradnl"/>
              </w:rPr>
              <w:t>law</w:t>
            </w:r>
            <w:proofErr w:type="spellEnd"/>
            <w:r w:rsidRPr="00B17D37">
              <w:rPr>
                <w:rFonts w:cs="Calibri"/>
                <w:lang w:val="es-ES_tradnl"/>
              </w:rPr>
              <w:t xml:space="preserve">. New </w:t>
            </w:r>
            <w:proofErr w:type="spellStart"/>
            <w:r w:rsidRPr="00B17D37">
              <w:rPr>
                <w:rFonts w:cs="Calibri"/>
                <w:lang w:val="es-ES_tradnl"/>
              </w:rPr>
              <w:t>perspectives</w:t>
            </w:r>
            <w:proofErr w:type="spellEnd"/>
            <w:r w:rsidRPr="00B17D37">
              <w:rPr>
                <w:rFonts w:cs="Calibri"/>
                <w:lang w:val="es-ES_tradnl"/>
              </w:rPr>
              <w:t xml:space="preserve"> of </w:t>
            </w:r>
            <w:proofErr w:type="spellStart"/>
            <w:r w:rsidRPr="00B17D37">
              <w:rPr>
                <w:rFonts w:cs="Calibri"/>
                <w:lang w:val="es-ES_tradnl"/>
              </w:rPr>
              <w:t>Consumer</w:t>
            </w:r>
            <w:proofErr w:type="spellEnd"/>
            <w:r w:rsidRPr="00B17D37">
              <w:rPr>
                <w:rFonts w:cs="Calibri"/>
                <w:lang w:val="es-ES_tradnl"/>
              </w:rPr>
              <w:t xml:space="preserve"> </w:t>
            </w:r>
            <w:proofErr w:type="spellStart"/>
            <w:r w:rsidRPr="00B17D37">
              <w:rPr>
                <w:rFonts w:cs="Calibri"/>
                <w:lang w:val="es-ES_tradnl"/>
              </w:rPr>
              <w:t>protection</w:t>
            </w:r>
            <w:proofErr w:type="spellEnd"/>
            <w:r w:rsidRPr="00B17D37">
              <w:rPr>
                <w:rFonts w:cs="Calibri"/>
                <w:lang w:val="es-ES_tradnl"/>
              </w:rPr>
              <w:t xml:space="preserve"> in </w:t>
            </w:r>
            <w:proofErr w:type="spellStart"/>
            <w:r w:rsidRPr="00B17D37">
              <w:rPr>
                <w:rFonts w:cs="Calibri"/>
                <w:lang w:val="es-ES_tradnl"/>
              </w:rPr>
              <w:t>Europe</w:t>
            </w:r>
            <w:proofErr w:type="spellEnd"/>
            <w:r w:rsidRPr="00B17D37">
              <w:rPr>
                <w:rFonts w:cs="Calibri"/>
                <w:lang w:val="es-ES_tradnl"/>
              </w:rPr>
              <w:t xml:space="preserve">” (2012-2014).  </w:t>
            </w:r>
          </w:p>
          <w:p w:rsidR="001D7F79" w:rsidRPr="00B17D37" w:rsidRDefault="001D7F79" w:rsidP="00BE489D">
            <w:pPr>
              <w:spacing w:after="0" w:line="240" w:lineRule="auto"/>
              <w:jc w:val="both"/>
              <w:rPr>
                <w:rFonts w:cs="Calibri"/>
              </w:rPr>
            </w:pPr>
          </w:p>
        </w:tc>
      </w:tr>
      <w:tr w:rsidR="006E5F82" w:rsidRPr="00B17D37" w:rsidTr="00BE489D">
        <w:tc>
          <w:tcPr>
            <w:tcW w:w="1560" w:type="dxa"/>
          </w:tcPr>
          <w:p w:rsidR="006E5F82" w:rsidRPr="00B17D37" w:rsidRDefault="006E5F82" w:rsidP="00BE489D">
            <w:pPr>
              <w:spacing w:after="0" w:line="240" w:lineRule="auto"/>
              <w:rPr>
                <w:rFonts w:cs="Calibri"/>
                <w:u w:val="single"/>
              </w:rPr>
            </w:pPr>
            <w:r w:rsidRPr="00B17D37">
              <w:rPr>
                <w:rFonts w:cs="Calibri"/>
                <w:u w:val="single"/>
              </w:rPr>
              <w:t>Publicaciones</w:t>
            </w: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F77EB7" w:rsidRPr="00B17D37" w:rsidRDefault="00F77EB7" w:rsidP="00BE489D">
            <w:pPr>
              <w:spacing w:after="0" w:line="240" w:lineRule="auto"/>
              <w:rPr>
                <w:rFonts w:cs="Calibri"/>
                <w:u w:val="single"/>
              </w:rPr>
            </w:pPr>
          </w:p>
          <w:p w:rsidR="006E5F82" w:rsidRPr="00B17D37" w:rsidRDefault="006E5F82" w:rsidP="00BE489D">
            <w:pPr>
              <w:spacing w:after="0" w:line="240" w:lineRule="auto"/>
              <w:rPr>
                <w:rFonts w:cs="Calibri"/>
                <w:u w:val="single"/>
              </w:rPr>
            </w:pPr>
          </w:p>
          <w:p w:rsidR="006E5F82" w:rsidRPr="00B17D37" w:rsidRDefault="006E5F82" w:rsidP="00BE489D">
            <w:pPr>
              <w:spacing w:after="0" w:line="240" w:lineRule="auto"/>
              <w:rPr>
                <w:rFonts w:cs="Calibri"/>
                <w:u w:val="single"/>
              </w:rPr>
            </w:pPr>
          </w:p>
          <w:p w:rsidR="006E5F82" w:rsidRPr="00B17D37" w:rsidRDefault="006E5F82" w:rsidP="00BE489D">
            <w:pPr>
              <w:spacing w:after="0" w:line="240" w:lineRule="auto"/>
              <w:rPr>
                <w:rFonts w:cs="Calibri"/>
                <w:u w:val="single"/>
              </w:rPr>
            </w:pPr>
          </w:p>
        </w:tc>
        <w:tc>
          <w:tcPr>
            <w:tcW w:w="6934" w:type="dxa"/>
            <w:gridSpan w:val="2"/>
          </w:tcPr>
          <w:p w:rsidR="009B7A09" w:rsidRPr="00B17D37" w:rsidRDefault="009B7A09" w:rsidP="009B7A09">
            <w:pPr>
              <w:numPr>
                <w:ilvl w:val="0"/>
                <w:numId w:val="1"/>
              </w:numPr>
              <w:spacing w:after="0" w:line="240" w:lineRule="auto"/>
              <w:jc w:val="both"/>
              <w:rPr>
                <w:rFonts w:cs="Calibri"/>
                <w:lang w:val="es-ES_tradnl"/>
              </w:rPr>
            </w:pPr>
            <w:r w:rsidRPr="00B17D37">
              <w:rPr>
                <w:rFonts w:cs="Calibri"/>
                <w:lang w:val="es-ES_tradnl"/>
              </w:rPr>
              <w:t>Prácticas comerciales desleales de las empresas en sus relaciones con los competidores y los consumidores, Editorial Bosch, 2012 (obra colectiva). Comentarios a los artículos 27, 28, 29 y 30.</w:t>
            </w:r>
          </w:p>
          <w:p w:rsidR="009B7A09" w:rsidRPr="00B17D37" w:rsidRDefault="009B7A09" w:rsidP="009B7A09">
            <w:pPr>
              <w:numPr>
                <w:ilvl w:val="0"/>
                <w:numId w:val="1"/>
              </w:numPr>
              <w:spacing w:after="0" w:line="240" w:lineRule="auto"/>
              <w:jc w:val="both"/>
              <w:rPr>
                <w:rFonts w:cs="Calibri"/>
                <w:lang w:val="es-ES_tradnl"/>
              </w:rPr>
            </w:pPr>
            <w:r w:rsidRPr="00B17D37">
              <w:rPr>
                <w:rFonts w:cs="Calibri"/>
                <w:i/>
                <w:iCs/>
                <w:lang w:val="es-ES_tradnl"/>
              </w:rPr>
              <w:t xml:space="preserve">El usuario frente a la banca, </w:t>
            </w:r>
            <w:r w:rsidRPr="00B17D37">
              <w:rPr>
                <w:rFonts w:cs="Calibri"/>
                <w:lang w:val="es-ES_tradnl"/>
              </w:rPr>
              <w:t xml:space="preserve">Guías de Asuntos Legales, Editorial </w:t>
            </w:r>
            <w:proofErr w:type="spellStart"/>
            <w:r w:rsidRPr="00B17D37">
              <w:rPr>
                <w:rFonts w:cs="Calibri"/>
                <w:lang w:val="es-ES_tradnl"/>
              </w:rPr>
              <w:t>Arguval</w:t>
            </w:r>
            <w:proofErr w:type="spellEnd"/>
            <w:r w:rsidRPr="00B17D37">
              <w:rPr>
                <w:rFonts w:cs="Calibri"/>
                <w:lang w:val="es-ES_tradnl"/>
              </w:rPr>
              <w:t xml:space="preserve">, 2.006, 160 pp. </w:t>
            </w:r>
          </w:p>
          <w:p w:rsidR="009B7A09" w:rsidRPr="00B17D37" w:rsidRDefault="009B7A09" w:rsidP="009B7A09">
            <w:pPr>
              <w:numPr>
                <w:ilvl w:val="0"/>
                <w:numId w:val="1"/>
              </w:numPr>
              <w:spacing w:after="0" w:line="240" w:lineRule="auto"/>
              <w:jc w:val="both"/>
              <w:rPr>
                <w:rFonts w:cs="Calibri"/>
                <w:lang w:val="es-ES_tradnl"/>
              </w:rPr>
            </w:pPr>
            <w:r w:rsidRPr="00B17D37">
              <w:rPr>
                <w:rFonts w:cs="Calibri"/>
                <w:i/>
                <w:iCs/>
                <w:lang w:val="es-ES_tradnl"/>
              </w:rPr>
              <w:t>Evolución e impacto de la financiación de la vivienda en Iberoamérica, Experiencias de Argentina, Brasil, Colombia, España México y Venezuela</w:t>
            </w:r>
            <w:r w:rsidRPr="00B17D37">
              <w:rPr>
                <w:rFonts w:cs="Calibri"/>
                <w:lang w:val="es-ES_tradnl"/>
              </w:rPr>
              <w:t xml:space="preserve">, edita Universidad del Valle (Colombia) y </w:t>
            </w:r>
            <w:proofErr w:type="spellStart"/>
            <w:r w:rsidRPr="00B17D37">
              <w:rPr>
                <w:rFonts w:cs="Calibri"/>
                <w:lang w:val="es-ES_tradnl"/>
              </w:rPr>
              <w:t>Ausbanc</w:t>
            </w:r>
            <w:proofErr w:type="spellEnd"/>
            <w:r w:rsidRPr="00B17D37">
              <w:rPr>
                <w:rFonts w:cs="Calibri"/>
                <w:lang w:val="es-ES_tradnl"/>
              </w:rPr>
              <w:t xml:space="preserve"> Internacional, Cali, Colombia, 2005, como Directora y coordinadora de la obra, así como coautora del capítulo de </w:t>
            </w:r>
            <w:r w:rsidRPr="00B17D37">
              <w:rPr>
                <w:rFonts w:cs="Calibri"/>
                <w:lang w:val="es-ES_tradnl"/>
              </w:rPr>
              <w:lastRenderedPageBreak/>
              <w:t xml:space="preserve">España. </w:t>
            </w:r>
          </w:p>
          <w:p w:rsidR="009B7A09" w:rsidRPr="00B17D37" w:rsidRDefault="009B7A09" w:rsidP="009B7A09">
            <w:pPr>
              <w:numPr>
                <w:ilvl w:val="0"/>
                <w:numId w:val="1"/>
              </w:numPr>
              <w:spacing w:after="0" w:line="240" w:lineRule="auto"/>
              <w:jc w:val="both"/>
              <w:rPr>
                <w:rFonts w:cs="Calibri"/>
                <w:lang w:val="es-ES_tradnl"/>
              </w:rPr>
            </w:pPr>
            <w:r w:rsidRPr="00B17D37">
              <w:rPr>
                <w:rFonts w:cs="Calibri"/>
                <w:i/>
                <w:iCs/>
                <w:lang w:val="es-ES_tradnl"/>
              </w:rPr>
              <w:t>Malas prácticas bancarias</w:t>
            </w:r>
            <w:r w:rsidRPr="00B17D37">
              <w:rPr>
                <w:rFonts w:cs="Calibri"/>
                <w:lang w:val="es-ES_tradnl"/>
              </w:rPr>
              <w:t>, Edita Formación AUSBANC, Madrid, 2002, 360 pp. Dirección y coordinación del libro, así como redacción del capítulo primero titulado “El marco regulador del consumo en un contexto nacional muy internacionalizado”, pp. 23-43.</w:t>
            </w:r>
          </w:p>
          <w:p w:rsidR="009B7A09" w:rsidRPr="00B17D37" w:rsidRDefault="009B7A09" w:rsidP="009B7A09">
            <w:pPr>
              <w:numPr>
                <w:ilvl w:val="0"/>
                <w:numId w:val="1"/>
              </w:numPr>
              <w:spacing w:after="0" w:line="240" w:lineRule="auto"/>
              <w:jc w:val="both"/>
              <w:rPr>
                <w:rFonts w:cs="Calibri"/>
                <w:lang w:val="es-ES_tradnl"/>
              </w:rPr>
            </w:pPr>
            <w:r w:rsidRPr="00B17D37">
              <w:rPr>
                <w:rFonts w:cs="Calibri"/>
                <w:i/>
                <w:iCs/>
                <w:lang w:val="es-ES_tradnl"/>
              </w:rPr>
              <w:t xml:space="preserve">Guía de productos financieros para extranjeros, </w:t>
            </w:r>
            <w:r w:rsidRPr="00B17D37">
              <w:rPr>
                <w:rFonts w:cs="Calibri"/>
                <w:lang w:val="es-ES_tradnl"/>
              </w:rPr>
              <w:t xml:space="preserve">editado por </w:t>
            </w:r>
            <w:proofErr w:type="spellStart"/>
            <w:r w:rsidRPr="00B17D37">
              <w:rPr>
                <w:rFonts w:cs="Calibri"/>
                <w:lang w:val="es-ES_tradnl"/>
              </w:rPr>
              <w:t>Ausbanc</w:t>
            </w:r>
            <w:proofErr w:type="spellEnd"/>
            <w:r w:rsidRPr="00B17D37">
              <w:rPr>
                <w:rFonts w:cs="Calibri"/>
                <w:lang w:val="es-ES_tradnl"/>
              </w:rPr>
              <w:t xml:space="preserve"> consumo,  Ministerio de Sanidad y Consumo y el INC, Madrid, 2003, 57 </w:t>
            </w:r>
            <w:proofErr w:type="spellStart"/>
            <w:r w:rsidRPr="00B17D37">
              <w:rPr>
                <w:rFonts w:cs="Calibri"/>
                <w:lang w:val="es-ES_tradnl"/>
              </w:rPr>
              <w:t>pp</w:t>
            </w:r>
            <w:proofErr w:type="spellEnd"/>
            <w:r w:rsidRPr="00B17D37">
              <w:rPr>
                <w:rFonts w:cs="Calibri"/>
                <w:lang w:val="es-ES_tradnl"/>
              </w:rPr>
              <w:t>,  como Directora de la obra y autora del capítulo titulado “Trasferencias bancarias” pp. 12-17.</w:t>
            </w:r>
          </w:p>
          <w:p w:rsidR="009B7A09" w:rsidRPr="00B17D37" w:rsidRDefault="009B7A09" w:rsidP="009B7A09">
            <w:pPr>
              <w:numPr>
                <w:ilvl w:val="0"/>
                <w:numId w:val="1"/>
              </w:numPr>
              <w:spacing w:after="0" w:line="240" w:lineRule="auto"/>
              <w:jc w:val="both"/>
              <w:rPr>
                <w:rFonts w:cs="Calibri"/>
                <w:lang w:val="es-ES_tradnl"/>
              </w:rPr>
            </w:pPr>
            <w:r w:rsidRPr="00B17D37">
              <w:rPr>
                <w:rFonts w:cs="Calibri"/>
                <w:lang w:val="es-ES_tradnl"/>
              </w:rPr>
              <w:t xml:space="preserve">“De cómo una mala pregunta conduce a una peor respuesta –Comentario a la STJCE Paul y otros-”, </w:t>
            </w:r>
            <w:r w:rsidRPr="00B17D37">
              <w:rPr>
                <w:rFonts w:cs="Calibri"/>
                <w:i/>
                <w:iCs/>
                <w:lang w:val="es-ES_tradnl"/>
              </w:rPr>
              <w:t xml:space="preserve">Revista Argentina de Derecho del Comercio Internacional, </w:t>
            </w:r>
            <w:proofErr w:type="spellStart"/>
            <w:r w:rsidRPr="00B17D37">
              <w:rPr>
                <w:rFonts w:cs="Calibri"/>
                <w:i/>
                <w:iCs/>
                <w:lang w:val="es-ES_tradnl"/>
              </w:rPr>
              <w:t>DeCITA</w:t>
            </w:r>
            <w:proofErr w:type="spellEnd"/>
            <w:r w:rsidRPr="00B17D37">
              <w:rPr>
                <w:rFonts w:cs="Calibri"/>
                <w:i/>
                <w:iCs/>
                <w:lang w:val="es-ES_tradnl"/>
              </w:rPr>
              <w:t>, nº 3 y</w:t>
            </w:r>
            <w:r w:rsidRPr="00B17D37">
              <w:rPr>
                <w:rFonts w:cs="Calibri"/>
                <w:lang w:val="es-ES_tradnl"/>
              </w:rPr>
              <w:t xml:space="preserve"> </w:t>
            </w:r>
            <w:r w:rsidRPr="00B17D37">
              <w:rPr>
                <w:rFonts w:cs="Calibri"/>
                <w:i/>
                <w:iCs/>
                <w:lang w:val="es-ES_tradnl"/>
              </w:rPr>
              <w:t xml:space="preserve">Justicia y Derecho, </w:t>
            </w:r>
            <w:r w:rsidRPr="00B17D37">
              <w:rPr>
                <w:rFonts w:cs="Calibri"/>
                <w:lang w:val="es-ES_tradnl"/>
              </w:rPr>
              <w:t>enero 2005, nº 88,  pp. 28-35.</w:t>
            </w:r>
          </w:p>
          <w:p w:rsidR="009B7A09" w:rsidRPr="00B17D37" w:rsidRDefault="009B7A09" w:rsidP="009B7A09">
            <w:pPr>
              <w:numPr>
                <w:ilvl w:val="0"/>
                <w:numId w:val="1"/>
              </w:numPr>
              <w:spacing w:after="0" w:line="240" w:lineRule="auto"/>
              <w:jc w:val="both"/>
              <w:rPr>
                <w:rFonts w:cs="Calibri"/>
              </w:rPr>
            </w:pPr>
            <w:r w:rsidRPr="00B17D37">
              <w:rPr>
                <w:rFonts w:cs="Calibri"/>
              </w:rPr>
              <w:t>“</w:t>
            </w:r>
            <w:proofErr w:type="spellStart"/>
            <w:r w:rsidRPr="00B17D37">
              <w:rPr>
                <w:rFonts w:cs="Calibri"/>
              </w:rPr>
              <w:t>Considerations</w:t>
            </w:r>
            <w:proofErr w:type="spellEnd"/>
            <w:r w:rsidRPr="00B17D37">
              <w:rPr>
                <w:rFonts w:cs="Calibri"/>
              </w:rPr>
              <w:t xml:space="preserve"> </w:t>
            </w:r>
            <w:proofErr w:type="spellStart"/>
            <w:r w:rsidRPr="00B17D37">
              <w:rPr>
                <w:rFonts w:cs="Calibri"/>
              </w:rPr>
              <w:t>on</w:t>
            </w:r>
            <w:proofErr w:type="spellEnd"/>
            <w:r w:rsidRPr="00B17D37">
              <w:rPr>
                <w:rFonts w:cs="Calibri"/>
              </w:rPr>
              <w:t xml:space="preserve"> Standard </w:t>
            </w:r>
            <w:proofErr w:type="spellStart"/>
            <w:r w:rsidRPr="00B17D37">
              <w:rPr>
                <w:rFonts w:cs="Calibri"/>
              </w:rPr>
              <w:t>Contract</w:t>
            </w:r>
            <w:proofErr w:type="spellEnd"/>
            <w:r w:rsidRPr="00B17D37">
              <w:rPr>
                <w:rFonts w:cs="Calibri"/>
              </w:rPr>
              <w:t xml:space="preserve"> </w:t>
            </w:r>
            <w:proofErr w:type="spellStart"/>
            <w:r w:rsidRPr="00B17D37">
              <w:rPr>
                <w:rFonts w:cs="Calibri"/>
              </w:rPr>
              <w:t>Terms</w:t>
            </w:r>
            <w:proofErr w:type="spellEnd"/>
            <w:r w:rsidRPr="00B17D37">
              <w:rPr>
                <w:rFonts w:cs="Calibri"/>
              </w:rPr>
              <w:t xml:space="preserve"> in </w:t>
            </w:r>
            <w:proofErr w:type="spellStart"/>
            <w:r w:rsidRPr="00B17D37">
              <w:rPr>
                <w:rFonts w:cs="Calibri"/>
              </w:rPr>
              <w:t>Spanish</w:t>
            </w:r>
            <w:proofErr w:type="spellEnd"/>
            <w:r w:rsidRPr="00B17D37">
              <w:rPr>
                <w:rFonts w:cs="Calibri"/>
              </w:rPr>
              <w:t xml:space="preserve"> and </w:t>
            </w:r>
            <w:proofErr w:type="spellStart"/>
            <w:r w:rsidRPr="00B17D37">
              <w:rPr>
                <w:rFonts w:cs="Calibri"/>
              </w:rPr>
              <w:t>European</w:t>
            </w:r>
            <w:proofErr w:type="spellEnd"/>
            <w:r w:rsidRPr="00B17D37">
              <w:rPr>
                <w:rFonts w:cs="Calibri"/>
              </w:rPr>
              <w:t xml:space="preserve"> </w:t>
            </w:r>
            <w:proofErr w:type="spellStart"/>
            <w:r w:rsidRPr="00B17D37">
              <w:rPr>
                <w:rFonts w:cs="Calibri"/>
              </w:rPr>
              <w:t>Union</w:t>
            </w:r>
            <w:proofErr w:type="spellEnd"/>
            <w:r w:rsidRPr="00B17D37">
              <w:rPr>
                <w:rFonts w:cs="Calibri"/>
              </w:rPr>
              <w:t xml:space="preserve"> </w:t>
            </w:r>
            <w:proofErr w:type="spellStart"/>
            <w:r w:rsidRPr="00B17D37">
              <w:rPr>
                <w:rFonts w:cs="Calibri"/>
              </w:rPr>
              <w:t>Banking</w:t>
            </w:r>
            <w:proofErr w:type="spellEnd"/>
            <w:r w:rsidRPr="00B17D37">
              <w:rPr>
                <w:rFonts w:cs="Calibri"/>
              </w:rPr>
              <w:t xml:space="preserve"> </w:t>
            </w:r>
            <w:proofErr w:type="spellStart"/>
            <w:r w:rsidRPr="00B17D37">
              <w:rPr>
                <w:rFonts w:cs="Calibri"/>
              </w:rPr>
              <w:t>Consumer</w:t>
            </w:r>
            <w:proofErr w:type="spellEnd"/>
            <w:r w:rsidRPr="00B17D37">
              <w:rPr>
                <w:rFonts w:cs="Calibri"/>
              </w:rPr>
              <w:t xml:space="preserve"> </w:t>
            </w:r>
            <w:proofErr w:type="spellStart"/>
            <w:r w:rsidRPr="00B17D37">
              <w:rPr>
                <w:rFonts w:cs="Calibri"/>
              </w:rPr>
              <w:t>Activity</w:t>
            </w:r>
            <w:proofErr w:type="spellEnd"/>
            <w:r w:rsidRPr="00B17D37">
              <w:rPr>
                <w:rFonts w:cs="Calibri"/>
              </w:rPr>
              <w:t xml:space="preserve">”, </w:t>
            </w:r>
            <w:proofErr w:type="spellStart"/>
            <w:r w:rsidRPr="00B17D37">
              <w:rPr>
                <w:rFonts w:cs="Calibri"/>
                <w:i/>
              </w:rPr>
              <w:t>The</w:t>
            </w:r>
            <w:proofErr w:type="spellEnd"/>
            <w:r w:rsidRPr="00B17D37">
              <w:rPr>
                <w:rFonts w:cs="Calibri"/>
                <w:i/>
              </w:rPr>
              <w:t xml:space="preserve"> </w:t>
            </w:r>
            <w:proofErr w:type="spellStart"/>
            <w:r w:rsidRPr="00B17D37">
              <w:rPr>
                <w:rFonts w:cs="Calibri"/>
                <w:i/>
              </w:rPr>
              <w:t>Journal</w:t>
            </w:r>
            <w:proofErr w:type="spellEnd"/>
            <w:r w:rsidRPr="00B17D37">
              <w:rPr>
                <w:rFonts w:cs="Calibri"/>
                <w:i/>
              </w:rPr>
              <w:t xml:space="preserve"> of </w:t>
            </w:r>
            <w:proofErr w:type="spellStart"/>
            <w:r w:rsidRPr="00B17D37">
              <w:rPr>
                <w:rFonts w:cs="Calibri"/>
                <w:i/>
              </w:rPr>
              <w:t>international</w:t>
            </w:r>
            <w:proofErr w:type="spellEnd"/>
            <w:r w:rsidRPr="00B17D37">
              <w:rPr>
                <w:rFonts w:cs="Calibri"/>
                <w:i/>
              </w:rPr>
              <w:t xml:space="preserve"> </w:t>
            </w:r>
            <w:proofErr w:type="spellStart"/>
            <w:r w:rsidRPr="00B17D37">
              <w:rPr>
                <w:rFonts w:cs="Calibri"/>
                <w:i/>
              </w:rPr>
              <w:t>banking</w:t>
            </w:r>
            <w:proofErr w:type="spellEnd"/>
            <w:r w:rsidRPr="00B17D37">
              <w:rPr>
                <w:rFonts w:cs="Calibri"/>
                <w:i/>
              </w:rPr>
              <w:t xml:space="preserve"> </w:t>
            </w:r>
            <w:proofErr w:type="spellStart"/>
            <w:r w:rsidRPr="00B17D37">
              <w:rPr>
                <w:rFonts w:cs="Calibri"/>
                <w:i/>
              </w:rPr>
              <w:t>regulation</w:t>
            </w:r>
            <w:proofErr w:type="spellEnd"/>
            <w:r w:rsidRPr="00B17D37">
              <w:rPr>
                <w:rFonts w:cs="Calibri"/>
                <w:i/>
              </w:rPr>
              <w:t>,</w:t>
            </w:r>
            <w:r w:rsidRPr="00B17D37">
              <w:rPr>
                <w:rFonts w:cs="Calibri"/>
              </w:rPr>
              <w:t xml:space="preserve"> Londres, Spring 2000, pp. 1-8.</w:t>
            </w:r>
          </w:p>
          <w:p w:rsidR="009B7A09" w:rsidRPr="00B17D37" w:rsidRDefault="009B7A09" w:rsidP="009B7A09">
            <w:pPr>
              <w:numPr>
                <w:ilvl w:val="0"/>
                <w:numId w:val="1"/>
              </w:numPr>
              <w:spacing w:after="0" w:line="240" w:lineRule="auto"/>
              <w:jc w:val="both"/>
              <w:rPr>
                <w:rFonts w:cs="Calibri"/>
              </w:rPr>
            </w:pPr>
            <w:r w:rsidRPr="00B17D37">
              <w:rPr>
                <w:rFonts w:cs="Calibri"/>
                <w:lang w:val="es-ES_tradnl"/>
              </w:rPr>
              <w:t xml:space="preserve">“La proyección de los fines de la Segunda Directiva Bancaria a través de los conceptos de entidad de crédito y fondos reembolsables”, </w:t>
            </w:r>
            <w:r w:rsidRPr="00B17D37">
              <w:rPr>
                <w:rFonts w:cs="Calibri"/>
                <w:i/>
                <w:lang w:val="es-ES_tradnl"/>
              </w:rPr>
              <w:t>La Ley (Unión Europea)</w:t>
            </w:r>
            <w:r w:rsidRPr="00B17D37">
              <w:rPr>
                <w:rFonts w:cs="Calibri"/>
                <w:lang w:val="es-ES_tradnl"/>
              </w:rPr>
              <w:t>, año XIX, núm. 4766, pp. 5-8.</w:t>
            </w:r>
          </w:p>
          <w:p w:rsidR="009B7A09" w:rsidRPr="00B17D37" w:rsidRDefault="009B7A09" w:rsidP="009B7A09">
            <w:pPr>
              <w:numPr>
                <w:ilvl w:val="0"/>
                <w:numId w:val="1"/>
              </w:numPr>
              <w:spacing w:after="0" w:line="240" w:lineRule="auto"/>
              <w:jc w:val="both"/>
              <w:rPr>
                <w:rFonts w:cs="Calibri"/>
              </w:rPr>
            </w:pPr>
            <w:r w:rsidRPr="00B17D37">
              <w:rPr>
                <w:rFonts w:cs="Calibri"/>
                <w:lang w:val="es-ES_tradnl"/>
              </w:rPr>
              <w:t xml:space="preserve">“La nueva Ley de Condiciones Generales de la Contratación. Especial referencia a las normas de aplicación extraterritorial”, </w:t>
            </w:r>
            <w:r w:rsidRPr="00B17D37">
              <w:rPr>
                <w:rFonts w:cs="Calibri"/>
                <w:i/>
                <w:lang w:val="es-ES_tradnl"/>
              </w:rPr>
              <w:t xml:space="preserve">Derecho de los Negocios, </w:t>
            </w:r>
            <w:r w:rsidRPr="00B17D37">
              <w:rPr>
                <w:rFonts w:cs="Calibri"/>
                <w:lang w:val="es-ES_tradnl"/>
              </w:rPr>
              <w:t xml:space="preserve"> Diciembre de 1998, pp. 1-14.</w:t>
            </w:r>
          </w:p>
          <w:p w:rsidR="009B7A09" w:rsidRPr="00B17D37" w:rsidRDefault="009B7A09" w:rsidP="009B7A09">
            <w:pPr>
              <w:numPr>
                <w:ilvl w:val="0"/>
                <w:numId w:val="1"/>
              </w:numPr>
              <w:spacing w:after="0" w:line="240" w:lineRule="auto"/>
              <w:jc w:val="both"/>
              <w:rPr>
                <w:rFonts w:cs="Calibri"/>
              </w:rPr>
            </w:pPr>
            <w:r w:rsidRPr="00B17D37">
              <w:rPr>
                <w:rFonts w:cs="Calibri"/>
                <w:lang w:val="es-ES_tradnl"/>
              </w:rPr>
              <w:t xml:space="preserve">“El principio de primacía comunitario y el Derecho internacional privado”, </w:t>
            </w:r>
            <w:r w:rsidRPr="00B17D37">
              <w:rPr>
                <w:rFonts w:cs="Calibri"/>
                <w:i/>
                <w:lang w:val="es-ES_tradnl"/>
              </w:rPr>
              <w:t>R.D.C.E. (Revista de Derecho Comunitario europeo),</w:t>
            </w:r>
            <w:r w:rsidRPr="00B17D37">
              <w:rPr>
                <w:rFonts w:cs="Calibri"/>
                <w:lang w:val="es-ES_tradnl"/>
              </w:rPr>
              <w:t xml:space="preserve"> 1998-2,  vol. 4, julio/diciembre, pp. 473-499.</w:t>
            </w:r>
          </w:p>
          <w:p w:rsidR="009B7A09" w:rsidRPr="00B17D37" w:rsidRDefault="009B7A09" w:rsidP="009B7A09">
            <w:pPr>
              <w:numPr>
                <w:ilvl w:val="0"/>
                <w:numId w:val="1"/>
              </w:numPr>
              <w:spacing w:after="0" w:line="240" w:lineRule="auto"/>
              <w:jc w:val="both"/>
              <w:rPr>
                <w:rFonts w:cs="Calibri"/>
              </w:rPr>
            </w:pPr>
            <w:r w:rsidRPr="00B17D37">
              <w:rPr>
                <w:rFonts w:cs="Calibri"/>
                <w:i/>
                <w:lang w:val="es-ES_tradnl"/>
              </w:rPr>
              <w:t xml:space="preserve">Die LLM in </w:t>
            </w:r>
            <w:proofErr w:type="spellStart"/>
            <w:r w:rsidRPr="00B17D37">
              <w:rPr>
                <w:rFonts w:cs="Calibri"/>
                <w:i/>
                <w:lang w:val="es-ES_tradnl"/>
              </w:rPr>
              <w:t>Europaischen</w:t>
            </w:r>
            <w:proofErr w:type="spellEnd"/>
            <w:r w:rsidRPr="00B17D37">
              <w:rPr>
                <w:rFonts w:cs="Calibri"/>
                <w:i/>
                <w:lang w:val="es-ES_tradnl"/>
              </w:rPr>
              <w:t xml:space="preserve"> </w:t>
            </w:r>
            <w:proofErr w:type="spellStart"/>
            <w:r w:rsidRPr="00B17D37">
              <w:rPr>
                <w:rFonts w:cs="Calibri"/>
                <w:i/>
                <w:lang w:val="es-ES_tradnl"/>
              </w:rPr>
              <w:t>Union</w:t>
            </w:r>
            <w:proofErr w:type="spellEnd"/>
            <w:r w:rsidRPr="00B17D37">
              <w:rPr>
                <w:rFonts w:cs="Calibri"/>
                <w:lang w:val="es-ES_tradnl"/>
              </w:rPr>
              <w:t xml:space="preserve">, </w:t>
            </w:r>
            <w:proofErr w:type="spellStart"/>
            <w:r w:rsidRPr="00B17D37">
              <w:rPr>
                <w:rFonts w:cs="Calibri"/>
                <w:lang w:val="es-ES_tradnl"/>
              </w:rPr>
              <w:t>Karsten</w:t>
            </w:r>
            <w:proofErr w:type="spellEnd"/>
            <w:r w:rsidRPr="00B17D37">
              <w:rPr>
                <w:rFonts w:cs="Calibri"/>
                <w:lang w:val="es-ES_tradnl"/>
              </w:rPr>
              <w:t xml:space="preserve"> / </w:t>
            </w:r>
            <w:proofErr w:type="spellStart"/>
            <w:r w:rsidRPr="00B17D37">
              <w:rPr>
                <w:rFonts w:cs="Calibri"/>
                <w:lang w:val="es-ES_tradnl"/>
              </w:rPr>
              <w:t>Wirtz</w:t>
            </w:r>
            <w:proofErr w:type="spellEnd"/>
            <w:r w:rsidRPr="00B17D37">
              <w:rPr>
                <w:rFonts w:cs="Calibri"/>
                <w:lang w:val="es-ES_tradnl"/>
              </w:rPr>
              <w:t xml:space="preserve">, Alemania, 1998, 82 pp., colaboración con los autores en las labores de documentación, traducción y redacción. </w:t>
            </w:r>
          </w:p>
          <w:p w:rsidR="00DA2581" w:rsidRPr="00B17D37" w:rsidRDefault="00DA2581" w:rsidP="009B7A09">
            <w:pPr>
              <w:pStyle w:val="Prrafodelista"/>
              <w:spacing w:after="0" w:line="240" w:lineRule="auto"/>
              <w:jc w:val="both"/>
              <w:rPr>
                <w:rFonts w:cs="Calibri"/>
              </w:rPr>
            </w:pPr>
          </w:p>
        </w:tc>
      </w:tr>
      <w:tr w:rsidR="001D7F79" w:rsidRPr="00B17D37" w:rsidTr="00BE489D">
        <w:tc>
          <w:tcPr>
            <w:tcW w:w="1560" w:type="dxa"/>
          </w:tcPr>
          <w:p w:rsidR="001D7F79" w:rsidRPr="00B17D37" w:rsidRDefault="001D7F79" w:rsidP="00BE489D">
            <w:pPr>
              <w:spacing w:after="0" w:line="240" w:lineRule="auto"/>
              <w:rPr>
                <w:rFonts w:cs="Calibri"/>
                <w:u w:val="single"/>
              </w:rPr>
            </w:pPr>
            <w:r w:rsidRPr="00B17D37">
              <w:rPr>
                <w:rFonts w:cs="Calibri"/>
                <w:u w:val="single"/>
              </w:rPr>
              <w:lastRenderedPageBreak/>
              <w:t>Experiencia Profesional</w:t>
            </w:r>
          </w:p>
          <w:p w:rsidR="001D7F79" w:rsidRPr="00B17D37" w:rsidRDefault="001D7F79" w:rsidP="00BE489D">
            <w:pPr>
              <w:spacing w:after="0" w:line="240" w:lineRule="auto"/>
              <w:rPr>
                <w:rFonts w:cs="Calibri"/>
                <w:u w:val="single"/>
              </w:rPr>
            </w:pPr>
          </w:p>
          <w:p w:rsidR="001D7F79" w:rsidRPr="00B17D37" w:rsidRDefault="001D7F79" w:rsidP="00BE489D">
            <w:pPr>
              <w:spacing w:after="0" w:line="240" w:lineRule="auto"/>
              <w:rPr>
                <w:rFonts w:cs="Calibri"/>
                <w:u w:val="single"/>
              </w:rPr>
            </w:pPr>
          </w:p>
          <w:p w:rsidR="001D7F79" w:rsidRPr="00B17D37" w:rsidRDefault="001D7F79" w:rsidP="00BE489D">
            <w:pPr>
              <w:spacing w:after="0" w:line="240" w:lineRule="auto"/>
              <w:rPr>
                <w:rFonts w:cs="Calibri"/>
                <w:u w:val="single"/>
              </w:rPr>
            </w:pPr>
          </w:p>
          <w:p w:rsidR="001D7F79" w:rsidRPr="00B17D37" w:rsidRDefault="001D7F79" w:rsidP="00BE489D">
            <w:pPr>
              <w:spacing w:after="0" w:line="240" w:lineRule="auto"/>
              <w:rPr>
                <w:rFonts w:cs="Calibri"/>
                <w:u w:val="single"/>
              </w:rPr>
            </w:pPr>
          </w:p>
          <w:p w:rsidR="001D7F79" w:rsidRPr="00B17D37" w:rsidRDefault="001D7F79" w:rsidP="00BE489D">
            <w:pPr>
              <w:spacing w:after="0" w:line="240" w:lineRule="auto"/>
              <w:rPr>
                <w:rFonts w:cs="Calibri"/>
                <w:u w:val="single"/>
              </w:rPr>
            </w:pPr>
          </w:p>
          <w:p w:rsidR="001D7F79" w:rsidRPr="00B17D37" w:rsidRDefault="001D7F79" w:rsidP="00BE489D">
            <w:pPr>
              <w:spacing w:after="0" w:line="240" w:lineRule="auto"/>
              <w:rPr>
                <w:rFonts w:cs="Calibri"/>
                <w:u w:val="single"/>
              </w:rPr>
            </w:pPr>
          </w:p>
        </w:tc>
        <w:tc>
          <w:tcPr>
            <w:tcW w:w="6934" w:type="dxa"/>
            <w:gridSpan w:val="2"/>
          </w:tcPr>
          <w:p w:rsidR="001D7F79" w:rsidRPr="00B17D37" w:rsidRDefault="001D7F79" w:rsidP="00BD1792">
            <w:pPr>
              <w:spacing w:after="0" w:line="240" w:lineRule="auto"/>
              <w:jc w:val="both"/>
              <w:rPr>
                <w:rFonts w:cs="Calibri"/>
              </w:rPr>
            </w:pPr>
          </w:p>
          <w:p w:rsidR="00F91BA4" w:rsidRPr="00B17D37" w:rsidRDefault="009B7A09" w:rsidP="00BD1792">
            <w:pPr>
              <w:spacing w:after="0" w:line="240" w:lineRule="auto"/>
              <w:jc w:val="both"/>
              <w:rPr>
                <w:rFonts w:cs="Calibri"/>
              </w:rPr>
            </w:pPr>
            <w:r w:rsidRPr="00B17D37">
              <w:rPr>
                <w:rFonts w:cs="Calibri"/>
              </w:rPr>
              <w:t>Abogado en ejercicio especializado en Derecho internacional privado.</w:t>
            </w:r>
          </w:p>
          <w:p w:rsidR="00F91BA4" w:rsidRPr="00B17D37" w:rsidRDefault="00F91BA4" w:rsidP="00BD1792">
            <w:pPr>
              <w:spacing w:after="0" w:line="240" w:lineRule="auto"/>
              <w:jc w:val="both"/>
              <w:rPr>
                <w:rFonts w:cs="Calibri"/>
              </w:rPr>
            </w:pPr>
            <w:r w:rsidRPr="00B17D37">
              <w:rPr>
                <w:rFonts w:cs="Calibri"/>
              </w:rPr>
              <w:t>Directora Estudio Jurídico Internacional Lunas y Asociados</w:t>
            </w:r>
          </w:p>
          <w:p w:rsidR="00F91BA4" w:rsidRPr="00B17D37" w:rsidRDefault="00F91BA4" w:rsidP="00BD1792">
            <w:pPr>
              <w:spacing w:after="0" w:line="240" w:lineRule="auto"/>
              <w:jc w:val="both"/>
              <w:rPr>
                <w:rFonts w:cs="Calibri"/>
              </w:rPr>
            </w:pPr>
            <w:r w:rsidRPr="00B17D37">
              <w:rPr>
                <w:rFonts w:cs="Calibri"/>
              </w:rPr>
              <w:t>Abogada colaboradora de ASUFIN</w:t>
            </w:r>
          </w:p>
          <w:p w:rsidR="00F91BA4" w:rsidRPr="00B17D37" w:rsidRDefault="00F91BA4" w:rsidP="00BD1792">
            <w:pPr>
              <w:spacing w:after="0" w:line="240" w:lineRule="auto"/>
              <w:jc w:val="both"/>
              <w:rPr>
                <w:rFonts w:cs="Calibri"/>
              </w:rPr>
            </w:pPr>
            <w:r w:rsidRPr="00B17D37">
              <w:rPr>
                <w:rFonts w:cs="Calibri"/>
              </w:rPr>
              <w:t>Abogada colaboradora LEGAL CONTROL, S.L.P.</w:t>
            </w:r>
          </w:p>
          <w:p w:rsidR="00F91BA4" w:rsidRPr="00B17D37" w:rsidRDefault="00F91BA4" w:rsidP="00BD1792">
            <w:pPr>
              <w:spacing w:after="0" w:line="240" w:lineRule="auto"/>
              <w:jc w:val="both"/>
              <w:rPr>
                <w:rFonts w:cs="Calibri"/>
              </w:rPr>
            </w:pPr>
            <w:r w:rsidRPr="00B17D37">
              <w:rPr>
                <w:rFonts w:cs="Calibri"/>
              </w:rPr>
              <w:t>Ponente y directora de cursos de formación del ICAM</w:t>
            </w:r>
          </w:p>
          <w:p w:rsidR="00F91BA4" w:rsidRPr="00B17D37" w:rsidRDefault="00F91BA4" w:rsidP="00BD1792">
            <w:pPr>
              <w:spacing w:after="0" w:line="240" w:lineRule="auto"/>
              <w:jc w:val="both"/>
              <w:rPr>
                <w:rFonts w:cs="Calibri"/>
              </w:rPr>
            </w:pPr>
            <w:r w:rsidRPr="00B17D37">
              <w:rPr>
                <w:rFonts w:cs="Calibri"/>
              </w:rPr>
              <w:t xml:space="preserve">IBF, International </w:t>
            </w:r>
            <w:proofErr w:type="spellStart"/>
            <w:r w:rsidRPr="00B17D37">
              <w:rPr>
                <w:rFonts w:cs="Calibri"/>
              </w:rPr>
              <w:t>consulting</w:t>
            </w:r>
            <w:proofErr w:type="spellEnd"/>
            <w:r w:rsidRPr="00B17D37">
              <w:rPr>
                <w:rFonts w:cs="Calibri"/>
              </w:rPr>
              <w:t xml:space="preserve"> (experto internacional para proyectos UE)</w:t>
            </w:r>
          </w:p>
          <w:p w:rsidR="00F91BA4" w:rsidRPr="00B17D37" w:rsidRDefault="00F91BA4" w:rsidP="00BD1792">
            <w:pPr>
              <w:spacing w:after="0" w:line="240" w:lineRule="auto"/>
              <w:jc w:val="both"/>
              <w:rPr>
                <w:rFonts w:cs="Calibri"/>
              </w:rPr>
            </w:pPr>
            <w:r w:rsidRPr="00B17D37">
              <w:rPr>
                <w:rFonts w:cs="Calibri"/>
              </w:rPr>
              <w:t>AUSBANC EMPRESAS (Secretaria General Técnica y de Organización)</w:t>
            </w:r>
          </w:p>
          <w:p w:rsidR="00F91BA4" w:rsidRPr="00B17D37" w:rsidRDefault="00F91BA4" w:rsidP="00BD1792">
            <w:pPr>
              <w:spacing w:after="0" w:line="240" w:lineRule="auto"/>
              <w:jc w:val="both"/>
              <w:rPr>
                <w:rFonts w:cs="Calibri"/>
              </w:rPr>
            </w:pPr>
            <w:r w:rsidRPr="00B17D37">
              <w:rPr>
                <w:rFonts w:cs="Calibri"/>
              </w:rPr>
              <w:t>AUSBANC (Dirección área internacional y área formación. Subdirección servicios jurídicos)</w:t>
            </w:r>
          </w:p>
          <w:p w:rsidR="00BD1792" w:rsidRPr="00B17D37" w:rsidRDefault="00BD1792" w:rsidP="00BD1792">
            <w:pPr>
              <w:spacing w:after="0" w:line="240" w:lineRule="auto"/>
              <w:jc w:val="both"/>
              <w:rPr>
                <w:rFonts w:cs="Calibri"/>
              </w:rPr>
            </w:pPr>
            <w:r w:rsidRPr="00B17D37">
              <w:rPr>
                <w:rFonts w:cs="Calibri"/>
              </w:rPr>
              <w:t>Asesor jurídico PHARE PROGRAM</w:t>
            </w:r>
          </w:p>
          <w:p w:rsidR="00BD1792" w:rsidRPr="00B17D37" w:rsidRDefault="00BD1792" w:rsidP="00BD1792">
            <w:pPr>
              <w:spacing w:after="0" w:line="240" w:lineRule="auto"/>
              <w:jc w:val="both"/>
              <w:rPr>
                <w:rFonts w:cs="Calibri"/>
              </w:rPr>
            </w:pPr>
            <w:r w:rsidRPr="00B17D37">
              <w:rPr>
                <w:rFonts w:cs="Calibri"/>
              </w:rPr>
              <w:t>Árbitro Junta Arbitral de consumo de la Comunidad de Madrid</w:t>
            </w:r>
          </w:p>
          <w:p w:rsidR="00BD1792" w:rsidRPr="00B17D37" w:rsidRDefault="00BD1792" w:rsidP="00BD1792">
            <w:pPr>
              <w:spacing w:after="0" w:line="240" w:lineRule="auto"/>
              <w:jc w:val="both"/>
              <w:rPr>
                <w:rFonts w:cs="Calibri"/>
                <w:lang w:val="en-US"/>
              </w:rPr>
            </w:pPr>
            <w:proofErr w:type="spellStart"/>
            <w:r w:rsidRPr="00B17D37">
              <w:rPr>
                <w:rFonts w:cs="Calibri"/>
                <w:lang w:val="en-US"/>
              </w:rPr>
              <w:t>Stagiere</w:t>
            </w:r>
            <w:proofErr w:type="spellEnd"/>
            <w:r w:rsidRPr="00B17D37">
              <w:rPr>
                <w:rFonts w:cs="Calibri"/>
                <w:lang w:val="en-US"/>
              </w:rPr>
              <w:t xml:space="preserve"> en COMISIÓN EUROPEA (DG JUSTICE AND HOME AFFAIRS)</w:t>
            </w:r>
          </w:p>
          <w:p w:rsidR="00BD1792" w:rsidRPr="00B17D37" w:rsidRDefault="00BD1792" w:rsidP="00BD1792">
            <w:pPr>
              <w:spacing w:after="0" w:line="240" w:lineRule="auto"/>
              <w:jc w:val="both"/>
              <w:rPr>
                <w:rFonts w:cs="Calibri"/>
              </w:rPr>
            </w:pPr>
            <w:r w:rsidRPr="00B17D37">
              <w:rPr>
                <w:rFonts w:cs="Calibri"/>
              </w:rPr>
              <w:t>Ayudante administrativo en REGISTRO DE LA PROPIEDAD DE LAS ROZAS DE MADRID</w:t>
            </w:r>
          </w:p>
          <w:p w:rsidR="00BD1792" w:rsidRPr="00B17D37" w:rsidRDefault="00BD1792" w:rsidP="00BD1792">
            <w:pPr>
              <w:spacing w:after="0" w:line="240" w:lineRule="auto"/>
              <w:jc w:val="both"/>
              <w:rPr>
                <w:rFonts w:cs="Calibri"/>
              </w:rPr>
            </w:pPr>
            <w:r w:rsidRPr="00B17D37">
              <w:rPr>
                <w:rFonts w:cs="Calibri"/>
              </w:rPr>
              <w:t>Otros</w:t>
            </w:r>
          </w:p>
        </w:tc>
      </w:tr>
    </w:tbl>
    <w:p w:rsidR="00EF2C9D" w:rsidRPr="00B17D37" w:rsidRDefault="00EF2C9D">
      <w:pPr>
        <w:rPr>
          <w:rFonts w:cs="Calibri"/>
        </w:rPr>
      </w:pPr>
    </w:p>
    <w:sectPr w:rsidR="00EF2C9D" w:rsidRPr="00B17D37" w:rsidSect="001D7F79">
      <w:headerReference w:type="default" r:id="rId7"/>
      <w:pgSz w:w="11906" w:h="16838"/>
      <w:pgMar w:top="1664"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B6" w:rsidRDefault="00470CB6" w:rsidP="001D7F79">
      <w:pPr>
        <w:spacing w:after="0" w:line="240" w:lineRule="auto"/>
      </w:pPr>
      <w:r>
        <w:separator/>
      </w:r>
    </w:p>
  </w:endnote>
  <w:endnote w:type="continuationSeparator" w:id="0">
    <w:p w:rsidR="00470CB6" w:rsidRDefault="00470CB6" w:rsidP="001D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B6" w:rsidRDefault="00470CB6" w:rsidP="001D7F79">
      <w:pPr>
        <w:spacing w:after="0" w:line="240" w:lineRule="auto"/>
      </w:pPr>
      <w:r>
        <w:separator/>
      </w:r>
    </w:p>
  </w:footnote>
  <w:footnote w:type="continuationSeparator" w:id="0">
    <w:p w:rsidR="00470CB6" w:rsidRDefault="00470CB6" w:rsidP="001D7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79" w:rsidRDefault="00BE489D" w:rsidP="001D7F79">
    <w:pPr>
      <w:pStyle w:val="Encabezado"/>
      <w:ind w:left="-142"/>
    </w:pPr>
    <w:r w:rsidRPr="001E42F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168.75pt;height:43.5pt;visibility:visible">
          <v:imagedata r:id="rId1" o:title="Marca UCM Alternativa logo negro"/>
        </v:shape>
      </w:pict>
    </w:r>
  </w:p>
  <w:p w:rsidR="001D7F79" w:rsidRDefault="001D7F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3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1F80A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5DB37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BFE0B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3F21260"/>
    <w:multiLevelType w:val="hybridMultilevel"/>
    <w:tmpl w:val="29F2B056"/>
    <w:lvl w:ilvl="0" w:tplc="671AA79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6853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E64659E"/>
    <w:multiLevelType w:val="hybridMultilevel"/>
    <w:tmpl w:val="FA4616AA"/>
    <w:lvl w:ilvl="0" w:tplc="671AA794">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5BE5693"/>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8F9"/>
    <w:rsid w:val="00007A67"/>
    <w:rsid w:val="000C1074"/>
    <w:rsid w:val="00111DFA"/>
    <w:rsid w:val="001139AD"/>
    <w:rsid w:val="0012179E"/>
    <w:rsid w:val="00126A29"/>
    <w:rsid w:val="0014694F"/>
    <w:rsid w:val="001564FA"/>
    <w:rsid w:val="0015749A"/>
    <w:rsid w:val="00175055"/>
    <w:rsid w:val="001857B9"/>
    <w:rsid w:val="00191B18"/>
    <w:rsid w:val="001B272D"/>
    <w:rsid w:val="001D5804"/>
    <w:rsid w:val="001D7F79"/>
    <w:rsid w:val="002726C7"/>
    <w:rsid w:val="00276124"/>
    <w:rsid w:val="002E0289"/>
    <w:rsid w:val="003237B4"/>
    <w:rsid w:val="003A369F"/>
    <w:rsid w:val="003E6389"/>
    <w:rsid w:val="00455B34"/>
    <w:rsid w:val="00470CB6"/>
    <w:rsid w:val="004D76B6"/>
    <w:rsid w:val="00500A83"/>
    <w:rsid w:val="00506DA3"/>
    <w:rsid w:val="0055671E"/>
    <w:rsid w:val="005B38F9"/>
    <w:rsid w:val="005F3BA3"/>
    <w:rsid w:val="006504FE"/>
    <w:rsid w:val="0069008E"/>
    <w:rsid w:val="006A0346"/>
    <w:rsid w:val="006E5F82"/>
    <w:rsid w:val="00737DDD"/>
    <w:rsid w:val="00747421"/>
    <w:rsid w:val="007579F8"/>
    <w:rsid w:val="00760D07"/>
    <w:rsid w:val="00780D55"/>
    <w:rsid w:val="00826C05"/>
    <w:rsid w:val="00863858"/>
    <w:rsid w:val="00894E05"/>
    <w:rsid w:val="008F7C86"/>
    <w:rsid w:val="00974CD4"/>
    <w:rsid w:val="00990AA2"/>
    <w:rsid w:val="009B7A09"/>
    <w:rsid w:val="00AA6974"/>
    <w:rsid w:val="00B17D37"/>
    <w:rsid w:val="00B32F6A"/>
    <w:rsid w:val="00B539A4"/>
    <w:rsid w:val="00BD1792"/>
    <w:rsid w:val="00BE489D"/>
    <w:rsid w:val="00CB170E"/>
    <w:rsid w:val="00CC3283"/>
    <w:rsid w:val="00CE075E"/>
    <w:rsid w:val="00D3549D"/>
    <w:rsid w:val="00DA2581"/>
    <w:rsid w:val="00DD2859"/>
    <w:rsid w:val="00E12336"/>
    <w:rsid w:val="00E577EC"/>
    <w:rsid w:val="00EC5E53"/>
    <w:rsid w:val="00EF2C9D"/>
    <w:rsid w:val="00F06BB1"/>
    <w:rsid w:val="00F17678"/>
    <w:rsid w:val="00F249AD"/>
    <w:rsid w:val="00F36336"/>
    <w:rsid w:val="00F46039"/>
    <w:rsid w:val="00F77EB7"/>
    <w:rsid w:val="00F91BA4"/>
    <w:rsid w:val="00FB5CAB"/>
    <w:rsid w:val="00FD70F5"/>
    <w:rsid w:val="00FE57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74CD4"/>
    <w:rPr>
      <w:rFonts w:ascii="Tahoma" w:hAnsi="Tahoma" w:cs="Tahoma"/>
      <w:sz w:val="16"/>
      <w:szCs w:val="16"/>
    </w:rPr>
  </w:style>
  <w:style w:type="character" w:styleId="Hipervnculo">
    <w:name w:val="Hyperlink"/>
    <w:uiPriority w:val="99"/>
    <w:unhideWhenUsed/>
    <w:rsid w:val="00DA2581"/>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Emil</cp:lastModifiedBy>
  <cp:revision>3</cp:revision>
  <dcterms:created xsi:type="dcterms:W3CDTF">2019-07-03T16:58:00Z</dcterms:created>
  <dcterms:modified xsi:type="dcterms:W3CDTF">2019-07-03T16:59:00Z</dcterms:modified>
</cp:coreProperties>
</file>